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EE5" w:rsidRPr="003B62C1" w:rsidRDefault="00DE4EE5" w:rsidP="00DE4E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sectPr w:rsidR="00DE4EE5" w:rsidRPr="003B62C1" w:rsidSect="00BA1C35">
          <w:pgSz w:w="11906" w:h="16838"/>
          <w:pgMar w:top="567" w:right="567" w:bottom="567" w:left="1134" w:header="709" w:footer="0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-545465</wp:posOffset>
                </wp:positionH>
                <wp:positionV relativeFrom="paragraph">
                  <wp:posOffset>7164705</wp:posOffset>
                </wp:positionV>
                <wp:extent cx="7195820" cy="2724150"/>
                <wp:effectExtent l="22225" t="19050" r="40005" b="47625"/>
                <wp:wrapNone/>
                <wp:docPr id="5" name="Округлений прямокут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5820" cy="2724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0000"/>
                        </a:solidFill>
                        <a:ln w="38100" algn="ctr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E4EE5" w:rsidRDefault="00DE4EE5" w:rsidP="00DE4EE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За програмою 2017 року,</w:t>
                            </w:r>
                          </w:p>
                          <w:p w:rsidR="00DE4EE5" w:rsidRPr="009F0361" w:rsidRDefault="00DE4EE5" w:rsidP="00DE4EE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яка затверджена н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аказом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 МОН України 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від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23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10</w:t>
                            </w:r>
                            <w:r w:rsidRPr="009F0361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 xml:space="preserve">.2017 № 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1407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5" o:spid="_x0000_s1026" style="position:absolute;left:0;text-align:left;margin-left:-42.95pt;margin-top:564.15pt;width:566.6pt;height:21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" fillcolor="red" strokecolor="#f2f2f2" strokeweight="3pt">
                <v:shadow on="t" color="#823b0b" opacity=".5" offset="1pt"/>
                <v:textbox>
                  <w:txbxContent>
                    <w:p w:rsidR="00DE4EE5" w:rsidRDefault="00DE4EE5" w:rsidP="00DE4EE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За програмою 2017 року,</w:t>
                      </w:r>
                    </w:p>
                    <w:p w:rsidR="00DE4EE5" w:rsidRPr="009F0361" w:rsidRDefault="00DE4EE5" w:rsidP="00DE4EE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яка затверджена н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аказом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 МОН України 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від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23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.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10</w:t>
                      </w:r>
                      <w:r w:rsidRPr="009F0361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 xml:space="preserve">.2017 № 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1407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4966335</wp:posOffset>
                </wp:positionV>
                <wp:extent cx="7118350" cy="2053590"/>
                <wp:effectExtent l="69850" t="68580" r="69850" b="68580"/>
                <wp:wrapNone/>
                <wp:docPr id="4" name="Округлений 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2053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0" cmpd="dbl" algn="ctr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E4EE5" w:rsidRPr="006228F2" w:rsidRDefault="00DE4EE5" w:rsidP="00DE4EE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80"/>
                                <w:szCs w:val="80"/>
                                <w:lang w:val="uk-UA"/>
                              </w:rPr>
                            </w:pPr>
                            <w:r w:rsidRPr="006228F2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80"/>
                                <w:szCs w:val="80"/>
                                <w:lang w:val="uk-UA"/>
                              </w:rPr>
                              <w:t>Модуль. Інформаційна безпека (</w:t>
                            </w:r>
                            <w:r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80"/>
                                <w:szCs w:val="80"/>
                                <w:lang w:val="uk-UA"/>
                              </w:rPr>
                              <w:t>17</w:t>
                            </w:r>
                            <w:r w:rsidRPr="006228F2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80"/>
                                <w:szCs w:val="80"/>
                                <w:lang w:val="uk-UA"/>
                              </w:rPr>
                              <w:t xml:space="preserve"> год.)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4" o:spid="_x0000_s1027" style="position:absolute;left:0;text-align:left;margin-left:-39.2pt;margin-top:391.05pt;width:560.5pt;height:16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" fillcolor="#7030a0" strokecolor="#7030a0" strokeweight="10pt">
                <v:stroke linestyle="thinThin"/>
                <v:shadow color="#868686"/>
                <v:textbox>
                  <w:txbxContent>
                    <w:p w:rsidR="00DE4EE5" w:rsidRPr="006228F2" w:rsidRDefault="00DE4EE5" w:rsidP="00DE4EE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80"/>
                          <w:szCs w:val="80"/>
                          <w:lang w:val="uk-UA"/>
                        </w:rPr>
                      </w:pPr>
                      <w:r w:rsidRPr="006228F2">
                        <w:rPr>
                          <w:rFonts w:ascii="Georgia" w:hAnsi="Georgia"/>
                          <w:b/>
                          <w:i/>
                          <w:color w:val="FFFFFF"/>
                          <w:sz w:val="80"/>
                          <w:szCs w:val="80"/>
                          <w:lang w:val="uk-UA"/>
                        </w:rPr>
                        <w:t>Модуль. Інформаційна безпека (</w:t>
                      </w:r>
                      <w:r>
                        <w:rPr>
                          <w:rFonts w:ascii="Georgia" w:hAnsi="Georgia"/>
                          <w:b/>
                          <w:i/>
                          <w:color w:val="FFFFFF"/>
                          <w:sz w:val="80"/>
                          <w:szCs w:val="80"/>
                          <w:lang w:val="uk-UA"/>
                        </w:rPr>
                        <w:t>17</w:t>
                      </w:r>
                      <w:r w:rsidRPr="006228F2">
                        <w:rPr>
                          <w:rFonts w:ascii="Georgia" w:hAnsi="Georgia"/>
                          <w:b/>
                          <w:i/>
                          <w:color w:val="FFFFFF"/>
                          <w:sz w:val="80"/>
                          <w:szCs w:val="80"/>
                          <w:lang w:val="uk-UA"/>
                        </w:rPr>
                        <w:t xml:space="preserve"> год.)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-497840</wp:posOffset>
                </wp:positionH>
                <wp:positionV relativeFrom="paragraph">
                  <wp:posOffset>3259455</wp:posOffset>
                </wp:positionV>
                <wp:extent cx="7118350" cy="1482090"/>
                <wp:effectExtent l="69850" t="66675" r="69850" b="70485"/>
                <wp:wrapNone/>
                <wp:docPr id="3" name="Округлений 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82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127000" cmpd="dbl" algn="ctr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E4EE5" w:rsidRPr="008C0713" w:rsidRDefault="00DE4EE5" w:rsidP="00DE4EE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96"/>
                                <w:szCs w:val="76"/>
                                <w:lang w:val="uk-UA"/>
                              </w:rPr>
                            </w:pPr>
                            <w:r w:rsidRPr="008C0713">
                              <w:rPr>
                                <w:rFonts w:ascii="Georgia" w:hAnsi="Georgia"/>
                                <w:b/>
                                <w:i/>
                                <w:color w:val="0070C0"/>
                                <w:sz w:val="160"/>
                                <w:szCs w:val="76"/>
                                <w:lang w:val="uk-UA"/>
                              </w:rPr>
                              <w:t>10(11) клас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3" o:spid="_x0000_s1028" style="position:absolute;left:0;text-align:left;margin-left:-39.2pt;margin-top:256.65pt;width:560.5pt;height:11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" fillcolor="yellow" strokecolor="#ffc000" strokeweight="10pt">
                <v:stroke linestyle="thinThin"/>
                <v:shadow color="#868686"/>
                <v:textbox>
                  <w:txbxContent>
                    <w:p w:rsidR="00DE4EE5" w:rsidRPr="008C0713" w:rsidRDefault="00DE4EE5" w:rsidP="00DE4EE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0070C0"/>
                          <w:sz w:val="96"/>
                          <w:szCs w:val="76"/>
                          <w:lang w:val="uk-UA"/>
                        </w:rPr>
                      </w:pPr>
                      <w:r w:rsidRPr="008C0713">
                        <w:rPr>
                          <w:rFonts w:ascii="Georgia" w:hAnsi="Georgia"/>
                          <w:b/>
                          <w:i/>
                          <w:color w:val="0070C0"/>
                          <w:sz w:val="160"/>
                          <w:szCs w:val="76"/>
                          <w:lang w:val="uk-UA"/>
                        </w:rPr>
                        <w:t>10(11) клас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-516890</wp:posOffset>
                </wp:positionH>
                <wp:positionV relativeFrom="paragraph">
                  <wp:posOffset>1519555</wp:posOffset>
                </wp:positionV>
                <wp:extent cx="7118350" cy="1549400"/>
                <wp:effectExtent l="69850" t="69850" r="69850" b="66675"/>
                <wp:wrapNone/>
                <wp:docPr id="2" name="Округлений 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549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472C4"/>
                        </a:solidFill>
                        <a:ln w="127000" cmpd="dbl" algn="ctr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E4EE5" w:rsidRPr="007E343E" w:rsidRDefault="00DE4EE5" w:rsidP="00DE4EE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</w:pPr>
                            <w:r w:rsidRPr="007E343E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130"/>
                                <w:szCs w:val="130"/>
                                <w:lang w:val="uk-UA"/>
                              </w:rPr>
                              <w:t>Інформатика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2" o:spid="_x0000_s1029" style="position:absolute;left:0;text-align:left;margin-left:-40.7pt;margin-top:119.65pt;width:560.5pt;height:12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" fillcolor="#4472c4" strokecolor="#4472c4" strokeweight="10pt">
                <v:stroke linestyle="thinThin"/>
                <v:shadow color="#868686"/>
                <v:textbox>
                  <w:txbxContent>
                    <w:p w:rsidR="00DE4EE5" w:rsidRPr="007E343E" w:rsidRDefault="00DE4EE5" w:rsidP="00DE4EE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</w:pPr>
                      <w:r w:rsidRPr="007E343E">
                        <w:rPr>
                          <w:rFonts w:ascii="Georgia" w:hAnsi="Georgia"/>
                          <w:b/>
                          <w:i/>
                          <w:color w:val="FFFFFF"/>
                          <w:sz w:val="130"/>
                          <w:szCs w:val="130"/>
                          <w:lang w:val="uk-UA"/>
                        </w:rPr>
                        <w:t>Інформатика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-109220</wp:posOffset>
                </wp:positionV>
                <wp:extent cx="7118350" cy="1435100"/>
                <wp:effectExtent l="69850" t="69850" r="69850" b="66675"/>
                <wp:wrapNone/>
                <wp:docPr id="1" name="Округлений 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8350" cy="1435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8000"/>
                        </a:solidFill>
                        <a:ln w="127000" cmpd="dbl" algn="ctr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E4EE5" w:rsidRPr="00CF1156" w:rsidRDefault="00DE4EE5" w:rsidP="00DE4EE5">
                            <w:pPr>
                              <w:spacing w:after="0" w:line="240" w:lineRule="auto"/>
                              <w:jc w:val="center"/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52"/>
                                <w:szCs w:val="76"/>
                                <w:lang w:val="uk-UA"/>
                              </w:rPr>
                            </w:pPr>
                            <w:r w:rsidRPr="00CF1156">
                              <w:rPr>
                                <w:rFonts w:ascii="Georgia" w:hAnsi="Georgia"/>
                                <w:b/>
                                <w:i/>
                                <w:color w:val="FFFFFF"/>
                                <w:sz w:val="76"/>
                                <w:szCs w:val="76"/>
                                <w:lang w:val="uk-UA"/>
                              </w:rPr>
                              <w:t>Календарно-тематичне планування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Округлений прямокутник 1" o:spid="_x0000_s1030" style="position:absolute;left:0;text-align:left;margin-left:-42.2pt;margin-top:-8.6pt;width:560.5pt;height:1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" fillcolor="green" strokecolor="#00b050" strokeweight="10pt">
                <v:stroke linestyle="thinThin"/>
                <v:shadow color="#868686"/>
                <v:textbox>
                  <w:txbxContent>
                    <w:p w:rsidR="00DE4EE5" w:rsidRPr="00CF1156" w:rsidRDefault="00DE4EE5" w:rsidP="00DE4EE5">
                      <w:pPr>
                        <w:spacing w:after="0" w:line="240" w:lineRule="auto"/>
                        <w:jc w:val="center"/>
                        <w:rPr>
                          <w:rFonts w:ascii="Georgia" w:hAnsi="Georgia"/>
                          <w:b/>
                          <w:i/>
                          <w:color w:val="FFFFFF"/>
                          <w:sz w:val="52"/>
                          <w:szCs w:val="76"/>
                          <w:lang w:val="uk-UA"/>
                        </w:rPr>
                      </w:pPr>
                      <w:r w:rsidRPr="00CF1156">
                        <w:rPr>
                          <w:rFonts w:ascii="Georgia" w:hAnsi="Georgia"/>
                          <w:b/>
                          <w:i/>
                          <w:color w:val="FFFFFF"/>
                          <w:sz w:val="76"/>
                          <w:szCs w:val="76"/>
                          <w:lang w:val="uk-UA"/>
                        </w:rPr>
                        <w:t>Календарно-тематичне планування</w:t>
                      </w:r>
                    </w:p>
                  </w:txbxContent>
                </v:textbox>
              </v:roundrect>
            </w:pict>
          </mc:Fallback>
        </mc:AlternateContent>
      </w:r>
      <w:r w:rsidRPr="004C587B">
        <w:rPr>
          <w:noProof/>
          <w:lang w:val="uk-UA" w:eastAsia="uk-UA"/>
        </w:rPr>
        <w:t xml:space="preserve"> </w:t>
      </w:r>
    </w:p>
    <w:p w:rsidR="00DE4EE5" w:rsidRPr="00571B6D" w:rsidRDefault="00DE4EE5" w:rsidP="00DE4E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Орієнтовне календарно-тематичне планування вибіркових модулів за навчальною програмою вибірково-обов’язкового предмету інформатика для учнів 10-11 класів загальноосвітніх навчальних закладів (рівень стандарту)</w:t>
      </w:r>
    </w:p>
    <w:p w:rsidR="00DE4EE5" w:rsidRPr="00571B6D" w:rsidRDefault="00DE4EE5" w:rsidP="00DE4E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DE4EE5" w:rsidRDefault="00DE4EE5" w:rsidP="00DE4E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Модуль. </w:t>
      </w:r>
      <w:r w:rsidRPr="006228F2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Інформаційна безпека </w:t>
      </w: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>17</w:t>
      </w:r>
      <w:r w:rsidRPr="00571B6D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 год.)</w:t>
      </w:r>
    </w:p>
    <w:p w:rsidR="00DE4EE5" w:rsidRDefault="00DE4EE5" w:rsidP="00DE4EE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DE4EE5" w:rsidRDefault="00DE4EE5" w:rsidP="00DE4EE5">
      <w:pPr>
        <w:jc w:val="both"/>
        <w:rPr>
          <w:rFonts w:ascii="Times New Roman" w:hAnsi="Times New Roman"/>
          <w:sz w:val="28"/>
          <w:lang w:val="uk-UA"/>
        </w:rPr>
      </w:pPr>
      <w:hyperlink r:id="rId7" w:history="1"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Навчальна пр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о</w:t>
        </w:r>
        <w:r w:rsidRPr="00EE1269">
          <w:rPr>
            <w:rStyle w:val="a6"/>
            <w:rFonts w:ascii="Times New Roman" w:hAnsi="Times New Roman"/>
            <w:b/>
            <w:sz w:val="28"/>
            <w:lang w:val="uk-UA"/>
          </w:rPr>
          <w:t>грама</w:t>
        </w:r>
      </w:hyperlink>
      <w:r w:rsidRPr="005F646D">
        <w:rPr>
          <w:rFonts w:ascii="Times New Roman" w:hAnsi="Times New Roman"/>
          <w:sz w:val="28"/>
          <w:lang w:val="uk-UA"/>
        </w:rPr>
        <w:t xml:space="preserve"> </w:t>
      </w:r>
      <w:r w:rsidRPr="00175538">
        <w:rPr>
          <w:rFonts w:ascii="Times New Roman" w:hAnsi="Times New Roman"/>
          <w:sz w:val="28"/>
          <w:lang w:val="uk-UA"/>
        </w:rPr>
        <w:t>з інформатики (</w:t>
      </w:r>
      <w:r w:rsidRPr="00175538">
        <w:rPr>
          <w:rFonts w:ascii="Times New Roman" w:hAnsi="Times New Roman"/>
          <w:b/>
          <w:sz w:val="28"/>
          <w:lang w:val="uk-UA"/>
        </w:rPr>
        <w:t>рівень стандарту</w:t>
      </w:r>
      <w:r w:rsidRPr="00175538">
        <w:rPr>
          <w:rFonts w:ascii="Times New Roman" w:hAnsi="Times New Roman"/>
          <w:sz w:val="28"/>
          <w:lang w:val="uk-UA"/>
        </w:rPr>
        <w:t>) для 10-11 класів загальноосвітніх шкіл,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92815">
        <w:rPr>
          <w:rFonts w:ascii="Times New Roman" w:hAnsi="Times New Roman"/>
          <w:sz w:val="28"/>
          <w:lang w:val="uk-UA"/>
        </w:rPr>
        <w:t xml:space="preserve">затверджена </w:t>
      </w:r>
      <w:hyperlink r:id="rId8" w:history="1">
        <w:r w:rsidRPr="00175538">
          <w:rPr>
            <w:rStyle w:val="a6"/>
            <w:rFonts w:ascii="Times New Roman" w:hAnsi="Times New Roman"/>
            <w:sz w:val="28"/>
            <w:lang w:val="uk-UA"/>
          </w:rPr>
          <w:t>Наказом Міністер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с</w:t>
        </w:r>
        <w:r w:rsidRPr="00175538">
          <w:rPr>
            <w:rStyle w:val="a6"/>
            <w:rFonts w:ascii="Times New Roman" w:hAnsi="Times New Roman"/>
            <w:sz w:val="28"/>
            <w:lang w:val="uk-UA"/>
          </w:rPr>
          <w:t>тва освіти і науки № 1407 від 23 жовтня 2017 року</w:t>
        </w:r>
      </w:hyperlink>
    </w:p>
    <w:p w:rsidR="00DE4EE5" w:rsidRPr="00731E76" w:rsidRDefault="00DE4EE5" w:rsidP="00DE4EE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  <w:lang w:val="uk-UA"/>
        </w:rPr>
      </w:pP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6804"/>
        <w:gridCol w:w="1417"/>
      </w:tblGrid>
      <w:tr w:rsidR="00DE4EE5" w:rsidRPr="003A0A15" w:rsidTr="00CE5948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E4EE5" w:rsidRPr="003A0A15" w:rsidRDefault="00DE4EE5" w:rsidP="00CE5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уро</w:t>
            </w:r>
            <w:proofErr w:type="spellEnd"/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-ку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E4EE5" w:rsidRPr="003A0A15" w:rsidRDefault="00DE4EE5" w:rsidP="00CE5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DE4EE5" w:rsidRPr="003A0A15" w:rsidRDefault="00DE4EE5" w:rsidP="00CE5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68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E4EE5" w:rsidRPr="003A0A15" w:rsidRDefault="00DE4EE5" w:rsidP="00CE5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E4EE5" w:rsidRPr="003A0A15" w:rsidRDefault="00DE4EE5" w:rsidP="00CE5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A0A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DE4EE5" w:rsidRPr="00DE4EE5" w:rsidTr="00CE5948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E4EE5" w:rsidRPr="00DE4EE5" w:rsidRDefault="00DE4EE5" w:rsidP="00CE5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E4EE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1. Основи безпеки інформаційних технологій</w:t>
            </w:r>
          </w:p>
        </w:tc>
      </w:tr>
      <w:tr w:rsidR="00DE4EE5" w:rsidRPr="00DE4EE5" w:rsidTr="00CE5948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DE4EE5"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  <w:t>Правила поведінки і безпеки життєдіяльності (БЖ) в комп’ютерному класі.</w:t>
            </w:r>
          </w:p>
          <w:p w:rsidR="00DE4EE5" w:rsidRPr="00DE4EE5" w:rsidRDefault="00DE4EE5" w:rsidP="00CE5948">
            <w:pPr>
              <w:spacing w:after="0" w:line="240" w:lineRule="auto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>Основні поняття в області безпеки інформаційних технологій. Місце і роль автоматизованих систем в управлінні бізнес-процесами. Основні причини загострення проблеми забезпечення безпеки інформаційних технологій. Інформація та інформаційні відносини. Суб'єкти інформаційних відносин, їх інтереси та безпека, шляхи нанесення їм шкоди. Безпека інформаційних технологій.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Інструктаж з БЖД. Загрози безпеці інформації в автоматизованих системах. Основні джерела і шляхи реалізації загроз безпеки та каналів проникнення і несанкціонованого доступу до відомостей та програмного коду:</w:t>
            </w:r>
          </w:p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</w:t>
            </w:r>
            <w:r w:rsidRPr="00DE4EE5">
              <w:rPr>
                <w:rFonts w:ascii="Times New Roman" w:hAnsi="Times New Roman"/>
                <w:lang w:val="uk-UA"/>
              </w:rPr>
              <w:tab/>
              <w:t>комп'ютерні віруси та шкідливе програмне забезпечення (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Malware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>);</w:t>
            </w:r>
          </w:p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</w:t>
            </w:r>
            <w:r w:rsidRPr="00DE4EE5">
              <w:rPr>
                <w:rFonts w:ascii="Times New Roman" w:hAnsi="Times New Roman"/>
                <w:lang w:val="uk-UA"/>
              </w:rPr>
              <w:tab/>
              <w:t>інтернет-шахрайство;</w:t>
            </w:r>
          </w:p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</w:t>
            </w:r>
            <w:r w:rsidRPr="00DE4EE5">
              <w:rPr>
                <w:rFonts w:ascii="Times New Roman" w:hAnsi="Times New Roman"/>
                <w:lang w:val="uk-UA"/>
              </w:rPr>
              <w:tab/>
              <w:t>спам-розсилки;</w:t>
            </w:r>
          </w:p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</w:t>
            </w:r>
            <w:r w:rsidRPr="00DE4EE5">
              <w:rPr>
                <w:rFonts w:ascii="Times New Roman" w:hAnsi="Times New Roman"/>
                <w:lang w:val="uk-UA"/>
              </w:rPr>
              <w:tab/>
              <w:t xml:space="preserve">несанкціонований доступ до інформаційних ресурсів та інформаційно-телекомунікаційних систем; </w:t>
            </w:r>
          </w:p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</w:t>
            </w:r>
            <w:r w:rsidRPr="00DE4EE5">
              <w:rPr>
                <w:rFonts w:ascii="Times New Roman" w:hAnsi="Times New Roman"/>
                <w:lang w:val="uk-UA"/>
              </w:rPr>
              <w:tab/>
              <w:t>бот-мережі (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botnet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>);</w:t>
            </w:r>
          </w:p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</w:t>
            </w:r>
            <w:r w:rsidRPr="00DE4EE5">
              <w:rPr>
                <w:rFonts w:ascii="Times New Roman" w:hAnsi="Times New Roman"/>
                <w:lang w:val="uk-UA"/>
              </w:rPr>
              <w:tab/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DDoS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>-атаки (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Distributed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Denial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of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Service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>);</w:t>
            </w:r>
          </w:p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</w:t>
            </w:r>
            <w:r w:rsidRPr="00DE4EE5">
              <w:rPr>
                <w:rFonts w:ascii="Times New Roman" w:hAnsi="Times New Roman"/>
                <w:lang w:val="uk-UA"/>
              </w:rPr>
              <w:tab/>
              <w:t>крадіжка коштів;</w:t>
            </w:r>
          </w:p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E4EE5">
              <w:rPr>
                <w:rFonts w:ascii="Times New Roman" w:hAnsi="Times New Roman"/>
                <w:lang w:val="uk-UA"/>
              </w:rPr>
              <w:t></w:t>
            </w:r>
            <w:r w:rsidRPr="00DE4EE5">
              <w:rPr>
                <w:rFonts w:ascii="Times New Roman" w:hAnsi="Times New Roman"/>
                <w:lang w:val="uk-UA"/>
              </w:rPr>
              <w:tab/>
              <w:t>«крадіжка особистості» (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Identity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Theft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Інструктаж з БЖД. Основні ненавмисні і навмисні штучні загрози.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Інструктаж з БЖД. Технічні засоби добування інформації.</w:t>
            </w:r>
          </w:p>
          <w:p w:rsidR="00DE4EE5" w:rsidRPr="00DE4EE5" w:rsidRDefault="00DE4EE5" w:rsidP="00CE5948">
            <w:pPr>
              <w:pStyle w:val="Style16"/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Програмні засоби добування інформації.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E4EE5" w:rsidRPr="00DE4EE5" w:rsidRDefault="00DE4EE5" w:rsidP="00CE5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E4EE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2. Забезпечення безпеки інформаційних технологій</w:t>
            </w:r>
          </w:p>
        </w:tc>
      </w:tr>
      <w:tr w:rsidR="00DE4EE5" w:rsidRPr="00DE4EE5" w:rsidTr="00CE5948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Об'єкти захисту. Види заходів протидії загрозам безпеки. Переваги та недоліки різних видів заходів захисту. Основні принципи побудови системи безпеки інформації в автоматизованій системі.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Правові основи забезпечення безпеки інформаційних технологій. Закони України та інші нормативно- правові акти, що регламентують відносини суб'єктів в інформаційній сфері та захист інформації. Відповідальність за порушення у сфері захисту інформації та неправомірного використання автоматизованих систем.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Основні захисні механізми, які реалізуються в рамках різних заходів і засобів захисту.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Інструктаж з БЖД. Ідентифікація та </w:t>
            </w:r>
            <w:proofErr w:type="spellStart"/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>аутентифікація</w:t>
            </w:r>
            <w:proofErr w:type="spellEnd"/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користувачів. </w:t>
            </w:r>
          </w:p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>Розмежування доступу зареєстрованих користувачів до ресурсів автоматизованих систем. Реєстрація та оперативне оповіщення про події безпеки.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Інструктаж з БЖД. Криптографічні методи захисту інформації. </w:t>
            </w:r>
          </w:p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Контроль цілісності програмних і інформаційних ресурсів. 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Інструктаж з БЖД. Виявлення атак. </w:t>
            </w:r>
          </w:p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Захист периметра комп'ютерних мереж. </w:t>
            </w:r>
          </w:p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>Керування механізмами захисту.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sz w:val="24"/>
                <w:szCs w:val="24"/>
                <w:lang w:val="uk-UA"/>
              </w:rPr>
              <w:t>Інструктаж з БЖД. Міжнародні стандарти інформаційної безпеки.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100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DE4EE5" w:rsidRPr="00DE4EE5" w:rsidRDefault="00DE4EE5" w:rsidP="00CE5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E4EE5">
              <w:rPr>
                <w:rStyle w:val="FontStyle42"/>
                <w:rFonts w:ascii="Times New Roman" w:hAnsi="Times New Roman"/>
                <w:sz w:val="24"/>
                <w:szCs w:val="24"/>
                <w:lang w:val="uk-UA" w:eastAsia="uk-UA"/>
              </w:rPr>
              <w:t>Тема 3. Забезпечення безпеки комп'ютерних систем і мереж</w:t>
            </w:r>
          </w:p>
        </w:tc>
      </w:tr>
      <w:tr w:rsidR="00DE4EE5" w:rsidRPr="00DE4EE5" w:rsidTr="00CE5948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E4EE5">
              <w:rPr>
                <w:rFonts w:ascii="Times New Roman" w:hAnsi="Times New Roman"/>
                <w:lang w:val="uk-UA"/>
              </w:rPr>
              <w:t>Інструктаж з БЖД. Проблеми забезпечення безпеки в комп'ютерних системах і мережах. Типова корпоративна мережа. Рівні інформаційної інфраструктури корпоративної мережі. Мережеві загрози, вразливості і атаки. Засоби захисту мереж.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shd w:val="clear" w:color="auto" w:fill="FFFFFF"/>
            <w:vAlign w:val="center"/>
          </w:tcPr>
          <w:p w:rsidR="00DE4EE5" w:rsidRPr="00DE4EE5" w:rsidRDefault="00DE4EE5" w:rsidP="00CE5948">
            <w:pPr>
              <w:pStyle w:val="Style13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E4EE5">
              <w:rPr>
                <w:rFonts w:ascii="Times New Roman" w:hAnsi="Times New Roman"/>
                <w:lang w:val="uk-UA"/>
              </w:rPr>
              <w:t xml:space="preserve">Інструктаж з БЖД. Призначення, можливості, і основні захисні механізми 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міжмережевих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 xml:space="preserve"> екранів (брандмауерів). Переваги та недоліки брандмауерів. Основні захисні механізми: фільтрація пакетів, трансляція мережевих адрес, проміжна 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аутентифікація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 xml:space="preserve">, відхилення </w:t>
            </w:r>
            <w:proofErr w:type="spellStart"/>
            <w:r w:rsidRPr="00DE4EE5">
              <w:rPr>
                <w:rFonts w:ascii="Times New Roman" w:hAnsi="Times New Roman"/>
                <w:lang w:val="uk-UA"/>
              </w:rPr>
              <w:t>скриптів</w:t>
            </w:r>
            <w:proofErr w:type="spellEnd"/>
            <w:r w:rsidRPr="00DE4EE5">
              <w:rPr>
                <w:rFonts w:ascii="Times New Roman" w:hAnsi="Times New Roman"/>
                <w:lang w:val="uk-UA"/>
              </w:rPr>
              <w:t>, перевірка пошти, віртуальні приватні мережі, протидія атакам, націленим на порушення роботи мережевих служб, додаткові функції. Політика безпеки при доступі до мережі загального користування.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bCs w:val="0"/>
                <w:sz w:val="24"/>
                <w:szCs w:val="24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Інструктаж з БЖД. Системи аналізу вмісту поштового і веб-трафіку (електронна пошта і НТТР). Політики безпеки, сценарії і варіанти застосування і реагування.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Інструктаж з БЖД. Віртуальні приватні мережі (VPN). Загрози, пов'язані з використанням VPN.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  <w:bottom w:val="single" w:sz="4" w:space="0" w:color="000000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pStyle w:val="Style16"/>
              <w:spacing w:line="240" w:lineRule="auto"/>
              <w:ind w:right="-1"/>
              <w:jc w:val="both"/>
              <w:rPr>
                <w:rFonts w:ascii="Times New Roman" w:hAnsi="Times New Roman"/>
                <w:lang w:val="uk-UA"/>
              </w:rPr>
            </w:pPr>
            <w:r w:rsidRPr="00DE4EE5">
              <w:rPr>
                <w:rFonts w:ascii="Times New Roman" w:hAnsi="Times New Roman"/>
                <w:lang w:val="uk-UA"/>
              </w:rPr>
              <w:t>Інструктаж з БЖД. Антивірусні засоби захисту. Загальні правила застосування антивірусних засобів в автоматизованих системах. Технології виявлення вірусів. Можливі варіанти розміщення антивірусних засобів. Антивірусний захист, як засіб нейтралізації загроз.</w:t>
            </w:r>
          </w:p>
        </w:tc>
        <w:tc>
          <w:tcPr>
            <w:tcW w:w="1417" w:type="dxa"/>
            <w:tcBorders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DE4EE5" w:rsidRPr="00DE4EE5" w:rsidTr="00CE5948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</w:tcPr>
          <w:p w:rsidR="00DE4EE5" w:rsidRPr="00DE4EE5" w:rsidRDefault="00DE4EE5" w:rsidP="00DE4EE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675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FFFFF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80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DE4EE5">
              <w:rPr>
                <w:rFonts w:ascii="Times New Roman" w:hAnsi="Times New Roman"/>
                <w:lang w:val="uk-UA"/>
              </w:rPr>
              <w:t>Інструктаж з БЖД. Виконання індивідуальних та колективних проектів.</w:t>
            </w:r>
          </w:p>
        </w:tc>
        <w:tc>
          <w:tcPr>
            <w:tcW w:w="14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E4EE5" w:rsidRPr="00DE4EE5" w:rsidRDefault="00DE4EE5" w:rsidP="00CE59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DE4EE5" w:rsidRPr="00DE4EE5" w:rsidRDefault="00DE4EE5" w:rsidP="00DE4EE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E4EE5" w:rsidRPr="00DE4EE5" w:rsidRDefault="00DE4EE5">
      <w:pPr>
        <w:rPr>
          <w:sz w:val="24"/>
          <w:szCs w:val="24"/>
          <w:lang w:val="uk-UA"/>
        </w:rPr>
      </w:pPr>
    </w:p>
    <w:p w:rsidR="00DE4EE5" w:rsidRPr="00DE4EE5" w:rsidRDefault="00DE4EE5" w:rsidP="00DE4EE5">
      <w:pPr>
        <w:rPr>
          <w:sz w:val="24"/>
          <w:szCs w:val="24"/>
          <w:lang w:val="uk-UA"/>
        </w:rPr>
      </w:pPr>
    </w:p>
    <w:p w:rsidR="00DE4EE5" w:rsidRPr="00DE4EE5" w:rsidRDefault="00DE4EE5" w:rsidP="00DE4EE5">
      <w:pPr>
        <w:rPr>
          <w:sz w:val="24"/>
          <w:szCs w:val="24"/>
          <w:lang w:val="uk-UA"/>
        </w:rPr>
      </w:pPr>
      <w:bookmarkStart w:id="0" w:name="_GoBack"/>
      <w:bookmarkEnd w:id="0"/>
    </w:p>
    <w:p w:rsidR="00DE4EE5" w:rsidRPr="00DE4EE5" w:rsidRDefault="00DE4EE5" w:rsidP="00DE4EE5">
      <w:pPr>
        <w:rPr>
          <w:sz w:val="24"/>
          <w:szCs w:val="24"/>
          <w:lang w:val="uk-UA"/>
        </w:rPr>
      </w:pPr>
    </w:p>
    <w:p w:rsidR="00DE4EE5" w:rsidRPr="00DE4EE5" w:rsidRDefault="00DE4EE5" w:rsidP="00DE4EE5">
      <w:pPr>
        <w:rPr>
          <w:sz w:val="24"/>
          <w:szCs w:val="24"/>
          <w:lang w:val="uk-UA"/>
        </w:rPr>
      </w:pPr>
    </w:p>
    <w:p w:rsidR="00DE4EE5" w:rsidRPr="00DE4EE5" w:rsidRDefault="00DE4EE5" w:rsidP="00DE4EE5">
      <w:pPr>
        <w:rPr>
          <w:sz w:val="24"/>
          <w:szCs w:val="24"/>
          <w:lang w:val="uk-UA"/>
        </w:rPr>
      </w:pPr>
    </w:p>
    <w:p w:rsidR="00DE4EE5" w:rsidRPr="00DE4EE5" w:rsidRDefault="00DE4EE5" w:rsidP="00DE4EE5">
      <w:pPr>
        <w:rPr>
          <w:sz w:val="24"/>
          <w:szCs w:val="24"/>
          <w:lang w:val="uk-UA"/>
        </w:rPr>
      </w:pPr>
    </w:p>
    <w:p w:rsidR="00BA22C8" w:rsidRPr="00DE4EE5" w:rsidRDefault="00DE4EE5" w:rsidP="00DE4EE5">
      <w:pPr>
        <w:tabs>
          <w:tab w:val="left" w:pos="960"/>
        </w:tabs>
        <w:rPr>
          <w:sz w:val="24"/>
          <w:szCs w:val="24"/>
          <w:lang w:val="uk-UA"/>
        </w:rPr>
      </w:pPr>
      <w:r w:rsidRPr="00DE4EE5">
        <w:rPr>
          <w:sz w:val="24"/>
          <w:szCs w:val="24"/>
          <w:lang w:val="uk-UA"/>
        </w:rPr>
        <w:tab/>
      </w:r>
    </w:p>
    <w:sectPr w:rsidR="00BA22C8" w:rsidRPr="00DE4EE5" w:rsidSect="00BA1C35">
      <w:footerReference w:type="default" r:id="rId9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88B" w:rsidRDefault="0055288B" w:rsidP="00DE4EE5">
      <w:pPr>
        <w:spacing w:after="0" w:line="240" w:lineRule="auto"/>
      </w:pPr>
      <w:r>
        <w:separator/>
      </w:r>
    </w:p>
  </w:endnote>
  <w:endnote w:type="continuationSeparator" w:id="0">
    <w:p w:rsidR="0055288B" w:rsidRDefault="0055288B" w:rsidP="00DE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2C1" w:rsidRDefault="0055288B" w:rsidP="00BA1C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88B" w:rsidRDefault="0055288B" w:rsidP="00DE4EE5">
      <w:pPr>
        <w:spacing w:after="0" w:line="240" w:lineRule="auto"/>
      </w:pPr>
      <w:r>
        <w:separator/>
      </w:r>
    </w:p>
  </w:footnote>
  <w:footnote w:type="continuationSeparator" w:id="0">
    <w:p w:rsidR="0055288B" w:rsidRDefault="0055288B" w:rsidP="00DE4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E5"/>
    <w:rsid w:val="0055288B"/>
    <w:rsid w:val="00BA22C8"/>
    <w:rsid w:val="00DE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2C996-022F-479B-909A-5907BB06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EE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EE5"/>
    <w:pPr>
      <w:ind w:left="720"/>
      <w:contextualSpacing/>
    </w:pPr>
  </w:style>
  <w:style w:type="paragraph" w:customStyle="1" w:styleId="Style13">
    <w:name w:val="Style13"/>
    <w:basedOn w:val="a"/>
    <w:rsid w:val="00DE4EE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6">
    <w:name w:val="Style16"/>
    <w:basedOn w:val="a"/>
    <w:rsid w:val="00DE4EE5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hAnsi="Bookman Old Style"/>
      <w:sz w:val="24"/>
      <w:szCs w:val="24"/>
    </w:rPr>
  </w:style>
  <w:style w:type="character" w:customStyle="1" w:styleId="FontStyle42">
    <w:name w:val="Font Style42"/>
    <w:rsid w:val="00DE4EE5"/>
    <w:rPr>
      <w:rFonts w:ascii="Bookman Old Style" w:hAnsi="Bookman Old Style" w:cs="Bookman Old Style"/>
      <w:b/>
      <w:bCs/>
      <w:sz w:val="14"/>
      <w:szCs w:val="14"/>
    </w:rPr>
  </w:style>
  <w:style w:type="paragraph" w:styleId="a4">
    <w:name w:val="footer"/>
    <w:basedOn w:val="a"/>
    <w:link w:val="a5"/>
    <w:uiPriority w:val="99"/>
    <w:unhideWhenUsed/>
    <w:rsid w:val="00DE4EE5"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DE4EE5"/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DE4EE5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DE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DE4EE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-inf.at.ua/10_klas/10_klas_2018/nmo-140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ch-inf.at.ua/load/kabinet_informatiki/navchalni_programi/navchalna_programa_vibirkovo_obov_jazkovogo_predmetu_dlja_uchniv_10_11_klasiv_informatika_riven_standartu_2018_rik/39-1-0-20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2018-08-31T04:48:00Z</dcterms:created>
  <dcterms:modified xsi:type="dcterms:W3CDTF">2018-08-31T04:51:00Z</dcterms:modified>
</cp:coreProperties>
</file>